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3848" w:rsidRPr="00EC0B14" w:rsidRDefault="00BD3848" w:rsidP="00BD3848">
      <w:pPr>
        <w:keepNext/>
        <w:keepLines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0" w:name="bookmark30"/>
      <w:bookmarkStart w:id="1" w:name="bookmark31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>Додаток 2</w:t>
      </w:r>
      <w:bookmarkEnd w:id="0"/>
      <w:bookmarkEnd w:id="1"/>
    </w:p>
    <w:p w:rsidR="00BD3848" w:rsidRPr="00EC0B14" w:rsidRDefault="00BD3848" w:rsidP="00BD3848">
      <w:pPr>
        <w:ind w:left="267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Інформація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eastAsia="ru-RU" w:bidi="ru-RU"/>
        </w:rPr>
        <w:t xml:space="preserve">про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7349"/>
        <w:gridCol w:w="1592"/>
      </w:tblGrid>
      <w:tr w:rsidR="00BD3848" w:rsidRPr="00EC0B14" w:rsidTr="00FB4F42">
        <w:trPr>
          <w:trHeight w:hRule="exact" w:val="6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2" w:name="bookmark32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2"/>
          </w:p>
          <w:p w:rsidR="00BD3848" w:rsidRPr="00EC0B14" w:rsidRDefault="00BD3848" w:rsidP="00FB4F42">
            <w:pPr>
              <w:spacing w:line="23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Відповіді,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докладний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опис</w:t>
            </w:r>
            <w:proofErr w:type="spellEnd"/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Повне найменування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включення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окремого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розділу Реєстру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суб'єктів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містить відомості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фірму,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має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право проводити обов'язковий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ведеться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(вказати номер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Реєстрі)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Наявність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чинного договору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страхування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цивільно-правової відповідальності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перед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третіми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особами,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укладеного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вимог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чинного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законодавства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України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щодо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проходження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перевірки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системи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контролю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дата та номер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свідоцтва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досвіду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безпосередньо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з надання аудиторських послуг щодо 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підприємств,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становлять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суспільний інтерес,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уключаючи банки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ключового партнера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працюють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та залучатимуться для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зазначенням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їх прізвища, імені,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батькові,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номера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реєстрації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Реєстрі аудиторів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суб'єктів аудиторської діяльності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кількості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штатних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кваліфікованих працівників суб'єкта аудиторської діяльності,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залучаються до виконання завдань з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підтвердили кваліфікацію відповідно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19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мають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чинні сертифікати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(дипломи)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професійних організацій,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підтверджують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високий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рівень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знань 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міжнародних стандартів фінансової звітності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тривалості договірних відносин поспіль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з питань проведення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Банку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відсутності (наявності)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суб'єкта аудиторської діяльності, її керівника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та/або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аудиторів, 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нього працюють (за основним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місцем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роботи або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сумісництвом),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будь-яких стягнень, що застосовувалися протягом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останніх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трьох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органом, 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регулює/регулював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 надання Банку послуг, зазначених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частині четвертій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аудиторську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діяльність»,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який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передує звітному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року,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звітний рік,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перевіряється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(за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наявності)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загальний розмір частки засновників (учасників), які не є аудиторами та/або аудиторськими фірмами,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у статутному капіталі не перевищує 30 відсотків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посадов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, яка відповідно до установчих документів здійснює керівництво, є лише аудитор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val="2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848" w:rsidRPr="0034337F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 про 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>керівник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а, що він</w:t>
            </w:r>
            <w:r w:rsidRPr="0034337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не є керівником іншої юридичної особи, що здійснює підприємницьку діяльність за видами, не сумісними з аудиторською діяльністю;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  <w:r w:rsidRPr="00EC0B14">
        <w:rPr>
          <w:rFonts w:ascii="Times New Roman" w:eastAsia="Times New Roman" w:hAnsi="Times New Roman" w:cs="Times New Roman"/>
          <w:color w:val="auto"/>
        </w:rPr>
        <w:br w:type="page"/>
      </w:r>
    </w:p>
    <w:p w:rsidR="00BD3848" w:rsidRPr="00EC0B14" w:rsidRDefault="00BD3848" w:rsidP="00BD3848">
      <w:pPr>
        <w:keepNext/>
        <w:keepLines/>
        <w:spacing w:after="220"/>
        <w:jc w:val="right"/>
        <w:outlineLvl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bookmarkStart w:id="3" w:name="bookmark33"/>
      <w:bookmarkStart w:id="4" w:name="bookmark34"/>
      <w:proofErr w:type="spellStart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>Додаток</w:t>
      </w:r>
      <w:proofErr w:type="spellEnd"/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 3</w:t>
      </w:r>
      <w:bookmarkEnd w:id="3"/>
      <w:bookmarkEnd w:id="4"/>
    </w:p>
    <w:p w:rsidR="00BD3848" w:rsidRPr="00EC0B14" w:rsidRDefault="00BD3848" w:rsidP="00BD3848">
      <w:pPr>
        <w:ind w:left="3024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 w:bidi="ru-RU"/>
        </w:rPr>
        <w:t xml:space="preserve">Анкета </w:t>
      </w:r>
      <w:r w:rsidRPr="00EC0B14">
        <w:rPr>
          <w:rFonts w:ascii="Times New Roman" w:eastAsia="Times New Roman" w:hAnsi="Times New Roman" w:cs="Times New Roman"/>
          <w:b/>
          <w:bCs/>
          <w:sz w:val="22"/>
          <w:szCs w:val="22"/>
        </w:rPr>
        <w:t>суб'єкта аудиторської діяльності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284"/>
      </w:tblGrid>
      <w:tr w:rsidR="00BD3848" w:rsidRPr="00EC0B14" w:rsidTr="00FB4F42">
        <w:trPr>
          <w:trHeight w:hRule="exact" w:val="61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bookmarkStart w:id="5" w:name="bookmark35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№</w:t>
            </w:r>
            <w:bookmarkEnd w:id="5"/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п/п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 w:eastAsia="ru-RU" w:bidi="ru-RU"/>
              </w:rPr>
              <w:t>Питання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Відповідь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4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Коментар, якщо Так</w:t>
            </w:r>
          </w:p>
        </w:tc>
      </w:tr>
      <w:tr w:rsidR="00BD3848" w:rsidRPr="00EC0B14" w:rsidTr="00FB4F42">
        <w:trPr>
          <w:trHeight w:hRule="exact" w:val="124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здійснює суб'єкт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учасник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аудиторської мережі,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якої він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належить, надання Банку послуг, що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 п.4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6 Закону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України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«Про аудит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аудиторську діяльність» (далі - Закон про аудит), а саме: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6 та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27 Закону про аудит</w:t>
            </w:r>
          </w:p>
        </w:tc>
      </w:tr>
      <w:tr w:rsidR="00BD3848" w:rsidRPr="00EC0B14" w:rsidTr="00FB4F42">
        <w:trPr>
          <w:trHeight w:hRule="exact" w:val="88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tabs>
                <w:tab w:val="left" w:pos="1373"/>
                <w:tab w:val="left" w:pos="2803"/>
                <w:tab w:val="left" w:pos="4099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складання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податкової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звітності,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розрахунку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обов'язкових зборів і платежів, представництва юридичних осіб у спорах із зазначених питань?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70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консультування з питань управління, розробки і супроводження управлінських рішень?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ведення бухгалтерського обліку і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363"/>
                <w:tab w:val="left" w:pos="2798"/>
                <w:tab w:val="left" w:pos="4133"/>
                <w:tab w:val="left" w:pos="4613"/>
              </w:tabs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розробка та впровадження процедур внутрішнього контролю,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управління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ризиками,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а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також</w:t>
            </w:r>
          </w:p>
          <w:p w:rsidR="00BD3848" w:rsidRPr="00EC0B14" w:rsidRDefault="00BD3848" w:rsidP="00FB4F42">
            <w:pPr>
              <w:spacing w:line="233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інформаційних технологій у фінансовій сфері?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1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3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кадрове забезпечення юридичних осіб у сфері бухгалтерського 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36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 з оцінки?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послуги, пов'язані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інформації, зокрема проведення процедур, необхідних для підготовки, обговорення та випуску листів-підтверджень у зв'язку з емісією цінних паперів юридичних осіб?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83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власники (засновники, учасники), посадові особи та працівники брали участь у підготовці та прийнятті управлінських рішень Банку (вимога щодо забезпечення незалежності поширюється на звітний період фінансової звітності, що підлягає перевірці, та період надання послуг з аудиту такої фінансової звітності)?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  <w:tr w:rsidR="00BD3848" w:rsidRPr="00EC0B14" w:rsidTr="00FB4F42">
        <w:trPr>
          <w:trHeight w:hRule="exact" w:val="130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суб'єкт аудиторської діяльності, його ключові партнери з аудиту, його власники (засновники, учасники), посадові особи і працівники та інші особи, залучені до надання таких послуг, а також близькі родичі та члени сім'ї зазначених осіб: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пункт 4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10 Закону про аудит</w:t>
            </w:r>
          </w:p>
        </w:tc>
      </w:tr>
    </w:tbl>
    <w:p w:rsidR="00BD3848" w:rsidRPr="00EC0B14" w:rsidRDefault="00BD3848" w:rsidP="00BD3848">
      <w:pPr>
        <w:spacing w:line="1" w:lineRule="exact"/>
        <w:rPr>
          <w:sz w:val="2"/>
          <w:szCs w:val="2"/>
        </w:rPr>
      </w:pPr>
      <w:r w:rsidRPr="00EC0B14">
        <w:br w:type="page"/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395"/>
        <w:gridCol w:w="1435"/>
        <w:gridCol w:w="2426"/>
      </w:tblGrid>
      <w:tr w:rsidR="00BD3848" w:rsidRPr="00EC0B14" w:rsidTr="00FB4F42">
        <w:trPr>
          <w:trHeight w:hRule="exact" w:val="1853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є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власниками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фінансових інструментів, емітованих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Банком 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фінансова звітність якої підлягає перевірці,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або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юридичної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пов'язаної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з Банком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спільною власністю,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контролем 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управлінням, крім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тих, що належать Банку опосередковано через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інститути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7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беруть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участь в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операціях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фінансовими інструментами, емітованими,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гарантованими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чином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підтримуваними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Банком,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крім операцій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в межах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інститутів спільного інвестування?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0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перебували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протягом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періодів,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зазначених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10 Закону про аудит, у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трудових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договірних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або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інших відносинах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з Банком,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що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можуть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</w:t>
            </w:r>
            <w:proofErr w:type="spellStart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>призвести</w:t>
            </w:r>
            <w:proofErr w:type="spellEnd"/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 w:bidi="ru-RU"/>
              </w:rPr>
              <w:t xml:space="preserve"> до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конфлікту інтересів?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20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Чи аудитор, ключовий партнер з аудиту,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посадові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 працівники суб'єкта аудиторської діяльності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та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інші залучені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особи,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які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брали участь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наданні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 з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Банку, протягом щонайменше одного року, а 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разі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проведення обов'язкового аудиту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фінансової звітності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Банку - протягом щонайменше двох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років після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надання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відповідних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послуг, чи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здійснювали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наступну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діяльність: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Зазначити, якщо надавалися аудиторські послуги Банку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8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10 </w:t>
            </w:r>
          </w:p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Закону про аудит</w:t>
            </w:r>
          </w:p>
        </w:tc>
      </w:tr>
      <w:tr w:rsidR="00BD3848" w:rsidRPr="00EC0B14" w:rsidTr="00FB4F42">
        <w:trPr>
          <w:trHeight w:hRule="exact" w:val="32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обіймали керівні посади в органі управління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8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 членом аудиторського комітету Банку, або у разі відсутності такого комітету - членом органу, що виконує відповідні функції?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58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ind w:firstLine="1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tabs>
                <w:tab w:val="left" w:pos="1843"/>
                <w:tab w:val="left" w:pos="2933"/>
                <w:tab w:val="left" w:pos="4493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призначалися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(були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обраними)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членом</w:t>
            </w:r>
          </w:p>
          <w:p w:rsidR="00BD3848" w:rsidRPr="00EC0B14" w:rsidRDefault="00BD3848" w:rsidP="00FB4F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адміністративного або наглядового органу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sz w:val="10"/>
                <w:szCs w:val="10"/>
              </w:rPr>
            </w:pPr>
          </w:p>
        </w:tc>
      </w:tr>
      <w:tr w:rsidR="00BD3848" w:rsidRPr="00EC0B14" w:rsidTr="00FB4F42">
        <w:trPr>
          <w:trHeight w:hRule="exact" w:val="158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залежить винагорода суб'єкта аудиторської діяльності за надання послуг з аудиту фінансової звітності Банку чи залежить від надання Банку неаудиторських послуг, а також договірних відносин або домовленостей, не пов'язаних з наданням послуг з аудиту фінансової звітності?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1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284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надає суб'єкт аудиторської діяльності Банку послуги, що не пов'язані з обов'язковим аудитом фінансової звітності, крім тих, що зазначені у п.4 статті 6 Закону про аудит (якщо надає, то та скільки років поспіль)? Чи перевищує винагорода, що отримана від Банку, за послуги, що не пов'язані з обов'язковим аудитом фінансової звітності 70 відсотків середньої суми винагороди, що була отримана суб'єктом аудиторської діяльності протягом останніх трьох років поспіль за послуги з обов'язкового аудиту фінансової звітності Банку?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3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Закону про аудит</w:t>
            </w:r>
          </w:p>
        </w:tc>
      </w:tr>
      <w:tr w:rsidR="00BD3848" w:rsidRPr="00EC0B14" w:rsidTr="00FB4F42">
        <w:trPr>
          <w:trHeight w:hRule="exact" w:val="171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Чи за попередній річний звітний період сума винагороди від кожного з підприємств, що становлять суспільний інтерес, яким надавалися послуги з обов'язкового аудиту фінансової звітності протягом цього періоду, перевищувала 15 відсотків загальної суми доходу від надання аудиторських послуг?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пункт 5 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26 та п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ункт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статті </w:t>
            </w:r>
            <w:r w:rsidRPr="00EC0B14">
              <w:rPr>
                <w:rFonts w:ascii="Times New Roman" w:eastAsia="Times New Roman" w:hAnsi="Times New Roman" w:cs="Times New Roman"/>
                <w:sz w:val="22"/>
                <w:szCs w:val="22"/>
              </w:rPr>
              <w:t>29 Закону про аудит</w:t>
            </w:r>
          </w:p>
        </w:tc>
      </w:tr>
      <w:tr w:rsidR="00BD3848" w:rsidRPr="00EC0B14" w:rsidTr="00FB4F42">
        <w:trPr>
          <w:trHeight w:hRule="exact" w:val="109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ind w:firstLine="26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Чи забезпечить суб’єкт аудиторської діяльності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ротацію аудиторів, залучених до виконання завдання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обов'язкового аудиту фінансової звітності.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 Відповідно до /найменування Учасника/ забезпечить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rPr>
                <w:sz w:val="10"/>
                <w:szCs w:val="10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3848" w:rsidRPr="00EC0B14" w:rsidRDefault="00BD3848" w:rsidP="00FB4F42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64674">
              <w:rPr>
                <w:rFonts w:ascii="Times New Roman" w:eastAsia="Times New Roman" w:hAnsi="Times New Roman" w:cs="Times New Roman"/>
                <w:sz w:val="22"/>
                <w:szCs w:val="22"/>
              </w:rPr>
              <w:t>частини 5 статті 30 Закону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про аудит</w:t>
            </w:r>
          </w:p>
        </w:tc>
      </w:tr>
    </w:tbl>
    <w:p w:rsidR="00BD3848" w:rsidRPr="00EC0B14" w:rsidRDefault="00BD3848" w:rsidP="00BD3848">
      <w:pPr>
        <w:spacing w:after="239" w:line="1" w:lineRule="exact"/>
      </w:pPr>
    </w:p>
    <w:p w:rsidR="00BD3848" w:rsidRPr="00EC0B14" w:rsidRDefault="00BD3848" w:rsidP="00BD3848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EC0B14">
        <w:rPr>
          <w:rFonts w:ascii="Times New Roman" w:eastAsia="Times New Roman" w:hAnsi="Times New Roman" w:cs="Times New Roman"/>
          <w:sz w:val="22"/>
          <w:szCs w:val="22"/>
        </w:rPr>
        <w:t>Керівник суб'єкта аудиторської діяльності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EC0B14">
        <w:rPr>
          <w:rFonts w:ascii="Times New Roman" w:eastAsia="Times New Roman" w:hAnsi="Times New Roman" w:cs="Times New Roman"/>
          <w:sz w:val="22"/>
          <w:szCs w:val="22"/>
          <w:lang w:eastAsia="ru-RU" w:bidi="ru-RU"/>
        </w:rPr>
        <w:t xml:space="preserve">Дата, </w:t>
      </w:r>
      <w:r w:rsidRPr="00EC0B14">
        <w:rPr>
          <w:rFonts w:ascii="Times New Roman" w:eastAsia="Times New Roman" w:hAnsi="Times New Roman" w:cs="Times New Roman"/>
          <w:sz w:val="22"/>
          <w:szCs w:val="22"/>
        </w:rPr>
        <w:t>підпис</w:t>
      </w:r>
    </w:p>
    <w:p w:rsidR="00000000" w:rsidRDefault="00000000"/>
    <w:sectPr w:rsidR="00656939" w:rsidSect="00BD3848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48"/>
    <w:rsid w:val="00161662"/>
    <w:rsid w:val="004C6BBA"/>
    <w:rsid w:val="005569C7"/>
    <w:rsid w:val="00633683"/>
    <w:rsid w:val="00721C7A"/>
    <w:rsid w:val="00B27AFF"/>
    <w:rsid w:val="00BD3848"/>
    <w:rsid w:val="00C744F7"/>
    <w:rsid w:val="00EC5635"/>
    <w:rsid w:val="00FD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8D22C-6238-4D66-AB68-DC77AF81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bCs/>
        <w:color w:val="FF0000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848"/>
    <w:pPr>
      <w:widowControl w:val="0"/>
      <w:spacing w:after="0" w:line="240" w:lineRule="auto"/>
    </w:pPr>
    <w:rPr>
      <w:rFonts w:ascii="Courier New" w:eastAsia="Courier New" w:hAnsi="Courier New" w:cs="Courier New"/>
      <w:bCs w:val="0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Н. Сокур</dc:creator>
  <cp:keywords/>
  <dc:description/>
  <cp:lastModifiedBy>Инна Н. Сокур</cp:lastModifiedBy>
  <cp:revision>1</cp:revision>
  <dcterms:created xsi:type="dcterms:W3CDTF">2024-08-23T13:17:00Z</dcterms:created>
  <dcterms:modified xsi:type="dcterms:W3CDTF">2024-08-23T13:17:00Z</dcterms:modified>
</cp:coreProperties>
</file>